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0D16"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Entidade/Instituição proponente do Projeto:</w:t>
      </w:r>
    </w:p>
    <w:p w14:paraId="65E2BACA"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Companhia de Desenvolvimento Habitacional do Distrito Federal</w:t>
      </w:r>
    </w:p>
    <w:p w14:paraId="4624C142"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Cidade e UF da instituição:</w:t>
      </w:r>
    </w:p>
    <w:p w14:paraId="0B16CDB5"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Brasília – DF</w:t>
      </w:r>
    </w:p>
    <w:p w14:paraId="04DE4C3C"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Endereço da instituição:</w:t>
      </w:r>
    </w:p>
    <w:p w14:paraId="5F1F451B"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Setor Comercial Sul Quadra 6 - Asa Sul</w:t>
      </w:r>
    </w:p>
    <w:p w14:paraId="4DAAF633"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Título/Identificação do Projeto:</w:t>
      </w:r>
    </w:p>
    <w:p w14:paraId="32B3D0C1"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Empreendimento Habitacional Itapoã Parque</w:t>
      </w:r>
    </w:p>
    <w:p w14:paraId="375C47DE"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Categoria do Projeto:</w:t>
      </w:r>
    </w:p>
    <w:p w14:paraId="6A3DDBA0"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Projetos voltados para a produção e/ou gestão de HIS, Grandes intervenções urbanas com impactos regionais.</w:t>
      </w:r>
    </w:p>
    <w:p w14:paraId="621F6A01"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Nome e Cargo do responsável pelo Projeto junto à instituição:</w:t>
      </w:r>
    </w:p>
    <w:p w14:paraId="6A32A33E"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Carlos Antônio Leal – Diretor de Produção Habitacional</w:t>
      </w:r>
    </w:p>
    <w:p w14:paraId="33AD7D88"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E-mail do responsável pelo Projeto:</w:t>
      </w:r>
    </w:p>
    <w:p w14:paraId="21B5957D"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carlos.leal@codhab.df.gov.br</w:t>
      </w:r>
    </w:p>
    <w:p w14:paraId="4E349009"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Número do celular com DDD do responsável pelo Projeto:</w:t>
      </w:r>
    </w:p>
    <w:p w14:paraId="518688E1"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61999714701</w:t>
      </w:r>
    </w:p>
    <w:p w14:paraId="313DF0E3"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Objetivos do Projeto:</w:t>
      </w:r>
    </w:p>
    <w:p w14:paraId="304F0371"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Implantação de empreendimento habitacional para atendimento a programas habitacionais de interesse social do Distrito Federal, que tem por objetivo prover moradia de qualidade às famílias de baixa renda, levando em consideração a sua inserção na cidade, de forma a combater o déficit habitacional ao estimular a construção de habitações de interesse social em áreas dotadas de infraestrutura, equipamentos públicos, comércio e serviços.</w:t>
      </w:r>
    </w:p>
    <w:p w14:paraId="6243CAC2"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Beneficiários diretos:</w:t>
      </w:r>
    </w:p>
    <w:p w14:paraId="5DC663F8" w14:textId="7C4BEF26"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 xml:space="preserve">Famílias cadastradas no cadastro da CODHAB com renda de até 12 </w:t>
      </w:r>
      <w:r w:rsidR="00F03303" w:rsidRPr="00840E12">
        <w:rPr>
          <w:rFonts w:ascii="Verdana" w:eastAsia="Times New Roman" w:hAnsi="Verdana" w:cs="Times New Roman"/>
          <w:color w:val="000000"/>
          <w:kern w:val="0"/>
          <w:sz w:val="18"/>
          <w:szCs w:val="18"/>
          <w:shd w:val="clear" w:color="auto" w:fill="FFFFFF"/>
          <w:lang w:eastAsia="pt-BR"/>
          <w14:ligatures w14:val="none"/>
        </w:rPr>
        <w:t>salários-mínimos</w:t>
      </w:r>
    </w:p>
    <w:p w14:paraId="1EF605BA"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Beneficiários indiretos:</w:t>
      </w:r>
    </w:p>
    <w:p w14:paraId="5F4661DF"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População do Itapoã e Paranoá que se beneficiarão com serviços e equipamentos públicos a serem implantados no empreendimento e com a duplicação da rodovia.</w:t>
      </w:r>
    </w:p>
    <w:p w14:paraId="2A2595C9"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Detalhamento do Projeto:</w:t>
      </w:r>
    </w:p>
    <w:p w14:paraId="7EEFF777"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 xml:space="preserve">1. O empreendimento habitacional Itapoã Parque, situado na Região Administrativa do Itapoã – RA XXVIII, consiste em 12.112 unidades habitacionais, para atendimento de uma população de mais de 40.000 pessoas, por intermédio do Programa Minha Casa Minha Vida. 2. Os 76 condomínios são compostos por blocos de apartamentos com térreo + 3 pavimentos. Cada bloco possui 4 apartamentos por andar, de 2 e 3 quartos, inclusive no </w:t>
      </w:r>
      <w:r w:rsidRPr="00840E12">
        <w:rPr>
          <w:rFonts w:ascii="Verdana" w:eastAsia="Times New Roman" w:hAnsi="Verdana" w:cs="Times New Roman"/>
          <w:color w:val="000000"/>
          <w:kern w:val="0"/>
          <w:sz w:val="18"/>
          <w:szCs w:val="18"/>
          <w:shd w:val="clear" w:color="auto" w:fill="FFFFFF"/>
          <w:lang w:eastAsia="pt-BR"/>
          <w14:ligatures w14:val="none"/>
        </w:rPr>
        <w:lastRenderedPageBreak/>
        <w:t>térreo, totalizando 16 unidades habitacionais por bloco. Os condomínios fechados possuem área comum com Guarita, Playground, Churrasqueira, Estacionamento privativo, espaço fitness. 3. O empreendimento é dotado de 27 lotes para equipamentos públicos comunitários - EPC para atendimento das políticas governamentais de educação, saúde, segurança pública, social, esporte, cultura e lazer, buscando suprir a demanda por equipamentos públicos na área consolidada. 4. Faz parte da contrapartida da empresa a construção de 03 Escolas Classes, 01 Centro de Referência de Assistência Social – CRAS, 01 Centro de Referência Especializado de Assistência Social - CREAS e 01 Centro de Ensino Infantil. 5. Ainda conta com lotes de equipamentos públicos urbanos – EPU, visando o atendimento de infraestrutura urbana pelas concessionárias de serviços públicos, além de áreas destinadas aos usos comerciais, prestação de serviços, industrial e coletivo. 6. O impacto regional trazido pelo empreendimento demandou a execução de diversas intervenções de infraestrutura urbana, como: subestação de energia, ampliação de estação de tratamento de esgoto, melhorias rodoviárias, criação de sistemas de drenagem pluvial e práticas de sustentabilidade, como criação de dispositivos de retenção de águas pluviais em lotes comerciais e equipamentos públicos, assim como nas praças, promovendo a infiltração no solo e recarga do aquífero, instalação de caixas de infiltração nos condomínios que recebem o escoamento do telhado de forma a coletar apenas água limpa para infiltração no solo e recarga do aquífero. E ainda reservação e reaproveitamento de águas pluviais.</w:t>
      </w:r>
    </w:p>
    <w:p w14:paraId="56F579F4"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Parcerias:</w:t>
      </w:r>
    </w:p>
    <w:p w14:paraId="22546ADF"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CAIXA – FGTS Programa Minha Casa Minha Vida (PMCMV), promovido pelo Governo Federal Outros órgãos: Neoenergia, CAESB, DER, Novacap, Terracap.</w:t>
      </w:r>
    </w:p>
    <w:p w14:paraId="1B94AFB3"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Investimento:</w:t>
      </w:r>
    </w:p>
    <w:p w14:paraId="322532D4"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R$ 1.723.784.121,44</w:t>
      </w:r>
    </w:p>
    <w:p w14:paraId="581BCFD2"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Outras informações:</w:t>
      </w:r>
    </w:p>
    <w:p w14:paraId="3E009F34"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r w:rsidRPr="00840E12">
        <w:rPr>
          <w:rFonts w:ascii="Verdana" w:eastAsia="Times New Roman" w:hAnsi="Verdana" w:cs="Times New Roman"/>
          <w:color w:val="000000"/>
          <w:kern w:val="0"/>
          <w:sz w:val="18"/>
          <w:szCs w:val="18"/>
          <w:shd w:val="clear" w:color="auto" w:fill="FFFFFF"/>
          <w:lang w:eastAsia="pt-BR"/>
          <w14:ligatures w14:val="none"/>
        </w:rPr>
        <w:t>O empreendimento se encontra com obras em andamento, o qual já foram entregues 2.944 unidades habitacionais, correspondente a 18 condomínios.</w:t>
      </w:r>
    </w:p>
    <w:p w14:paraId="38E867A8"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Concordo com o regulamento:</w:t>
      </w:r>
    </w:p>
    <w:p w14:paraId="46DD62BC" w14:textId="77777777" w:rsidR="00840E12" w:rsidRPr="00840E12" w:rsidRDefault="00840E12" w:rsidP="00840E12">
      <w:pPr>
        <w:spacing w:after="0" w:line="240" w:lineRule="auto"/>
        <w:rPr>
          <w:rFonts w:ascii="Times New Roman" w:eastAsia="Times New Roman" w:hAnsi="Times New Roman" w:cs="Times New Roman"/>
          <w:kern w:val="0"/>
          <w:sz w:val="24"/>
          <w:szCs w:val="24"/>
          <w:lang w:eastAsia="pt-BR"/>
          <w14:ligatures w14:val="none"/>
        </w:rPr>
      </w:pPr>
      <w:proofErr w:type="spellStart"/>
      <w:r w:rsidRPr="00840E12">
        <w:rPr>
          <w:rFonts w:ascii="Verdana" w:eastAsia="Times New Roman" w:hAnsi="Verdana" w:cs="Times New Roman"/>
          <w:color w:val="000000"/>
          <w:kern w:val="0"/>
          <w:sz w:val="18"/>
          <w:szCs w:val="18"/>
          <w:shd w:val="clear" w:color="auto" w:fill="FFFFFF"/>
          <w:lang w:eastAsia="pt-BR"/>
          <w14:ligatures w14:val="none"/>
        </w:rPr>
        <w:t>on</w:t>
      </w:r>
      <w:proofErr w:type="spellEnd"/>
    </w:p>
    <w:p w14:paraId="3621A3CF" w14:textId="77777777" w:rsidR="00840E12" w:rsidRPr="00840E12" w:rsidRDefault="00840E12" w:rsidP="00840E12">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840E12">
        <w:rPr>
          <w:rFonts w:ascii="Verdana" w:eastAsia="Times New Roman" w:hAnsi="Verdana" w:cs="Times New Roman"/>
          <w:b/>
          <w:bCs/>
          <w:color w:val="000000"/>
          <w:kern w:val="0"/>
          <w:sz w:val="18"/>
          <w:szCs w:val="18"/>
          <w:lang w:eastAsia="pt-BR"/>
          <w14:ligatures w14:val="none"/>
        </w:rPr>
        <w:t>Anexos:</w:t>
      </w:r>
    </w:p>
    <w:p w14:paraId="193530BD" w14:textId="43960A0D" w:rsidR="00460654" w:rsidRDefault="00840E12" w:rsidP="00840E12">
      <w:r w:rsidRPr="00840E12">
        <w:rPr>
          <w:rFonts w:ascii="Verdana" w:eastAsia="Times New Roman" w:hAnsi="Verdana" w:cs="Times New Roman"/>
          <w:color w:val="000000"/>
          <w:kern w:val="0"/>
          <w:sz w:val="18"/>
          <w:szCs w:val="18"/>
          <w:shd w:val="clear" w:color="auto" w:fill="FFFFFF"/>
          <w:lang w:eastAsia="pt-BR"/>
          <w14:ligatures w14:val="none"/>
        </w:rPr>
        <w:t>http://abc.habitacao.org.br/wp-content/uploads/elementor/forms/65202238e9e46.pdf</w:t>
      </w:r>
    </w:p>
    <w:sectPr w:rsidR="004606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12"/>
    <w:rsid w:val="00460654"/>
    <w:rsid w:val="00840E12"/>
    <w:rsid w:val="00C211D0"/>
    <w:rsid w:val="00F033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BECB"/>
  <w15:chartTrackingRefBased/>
  <w15:docId w15:val="{2B7D1E71-FA19-4C77-961D-497A40C6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840E1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840E12"/>
    <w:rPr>
      <w:rFonts w:ascii="Times New Roman" w:eastAsia="Times New Roman" w:hAnsi="Times New Roman" w:cs="Times New Roman"/>
      <w:b/>
      <w:bC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3348</Characters>
  <Application>Microsoft Office Word</Application>
  <DocSecurity>0</DocSecurity>
  <Lines>27</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2</cp:revision>
  <dcterms:created xsi:type="dcterms:W3CDTF">2023-10-06T20:29:00Z</dcterms:created>
  <dcterms:modified xsi:type="dcterms:W3CDTF">2023-10-11T15:25:00Z</dcterms:modified>
</cp:coreProperties>
</file>