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41" w:rsidRPr="00A37C52" w:rsidRDefault="00BB5241" w:rsidP="00BB5241">
      <w:pPr>
        <w:jc w:val="center"/>
        <w:rPr>
          <w:rFonts w:ascii="Verdana" w:hAnsi="Verdana"/>
          <w:b/>
          <w:sz w:val="18"/>
          <w:szCs w:val="18"/>
        </w:rPr>
      </w:pPr>
      <w:r w:rsidRPr="00A37C52">
        <w:rPr>
          <w:rFonts w:ascii="Verdana" w:hAnsi="Verdana"/>
          <w:b/>
          <w:sz w:val="18"/>
          <w:szCs w:val="18"/>
        </w:rPr>
        <w:t>Projeto 08 -</w:t>
      </w:r>
      <w:r w:rsidRPr="00A37C52">
        <w:rPr>
          <w:b/>
        </w:rPr>
        <w:t xml:space="preserve"> </w:t>
      </w:r>
      <w:r w:rsidRPr="00A37C52">
        <w:rPr>
          <w:rFonts w:ascii="Verdana" w:hAnsi="Verdana"/>
          <w:b/>
          <w:sz w:val="18"/>
          <w:szCs w:val="18"/>
        </w:rPr>
        <w:t>Comunidade Taboquinha</w:t>
      </w:r>
    </w:p>
    <w:p w:rsidR="00BB5241" w:rsidRDefault="00BB5241"/>
    <w:tbl>
      <w:tblPr>
        <w:tblW w:w="5206" w:type="pct"/>
        <w:tblCellSpacing w:w="15" w:type="dxa"/>
        <w:tblInd w:w="-32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3"/>
        <w:gridCol w:w="8730"/>
      </w:tblGrid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Entidade/Instituição proponente do Projeto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Companhia de Habitação do Estado do Pará– COHAB/PA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Estado e Cidade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Belém – Estado do Pará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Título/Identificação do Projeto: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Comunidade Taboquinha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Categoria do Projeto: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Projeto de Impacto Regional, com foco em ações de sustentabilidade.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Nome e Cargo do responsável pelo projeto junto à instituição inscrita: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proofErr w:type="spellStart"/>
            <w:r>
              <w:rPr>
                <w:rFonts w:ascii="Verdana" w:hAnsi="Verdana"/>
                <w:sz w:val="18"/>
                <w:szCs w:val="18"/>
              </w:rPr>
              <w:t>Kelen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Katiane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 Silva Gomes – Gerente Estratégica de Gestão de Obras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Telefone com DDD do responsável pelo projeto: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(91) 3214.8435 / 3214.8467 / 3214.8448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E-mail do responsável pelo projeto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323DA2" w:rsidP="00570011">
            <w:hyperlink r:id="rId4" w:history="1">
              <w:r w:rsidR="00BB5241">
                <w:rPr>
                  <w:rStyle w:val="Hyperlink"/>
                  <w:rFonts w:ascii="Verdana" w:hAnsi="Verdana"/>
                  <w:sz w:val="18"/>
                  <w:szCs w:val="18"/>
                </w:rPr>
                <w:t>kelen.gomes@cohab.pa.gov.br</w:t>
              </w:r>
            </w:hyperlink>
            <w:r w:rsidR="00BB5241"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Objetivos do projeto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 xml:space="preserve">Geral: Proporcionar condições de habitabilidade para os moradores da área e sua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consequente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melhoria de vida, nos aspectos: ambiental, econômico e social.</w:t>
            </w:r>
            <w:r>
              <w:rPr>
                <w:rFonts w:ascii="Verdana" w:hAnsi="Verdana"/>
                <w:sz w:val="18"/>
                <w:szCs w:val="18"/>
              </w:rPr>
              <w:br/>
              <w:t>Específicos: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Remoção de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cerca de 52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% das famílias residentes da área, que serão realocadas na mesma área e às proximidades do empreendimento;</w:t>
            </w:r>
            <w:r>
              <w:rPr>
                <w:rFonts w:ascii="Verdana" w:hAnsi="Verdana"/>
                <w:sz w:val="18"/>
                <w:szCs w:val="18"/>
              </w:rPr>
              <w:br/>
              <w:t>- Construção de 978 novas unidades habitacionais para atendimento da população alvo;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Instalação de infraestrutura, compreendendo redes de esgoto sanitário, abastecimento de água, energia elétrica, sistema viário e drenagem pluvial;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Implantação de equipamentos de apoio social e de lazer, que beneficiarão 1.862 famílias;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Recuperação da área de várzea e a remoção dos resíduos sólidos, revitalizando o igarapé e a ocupação vegetal com espécies da flora natural da região de várzea.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Diretos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1.862 famílias.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Indiretos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A população residente no entorno, de aproximadamente 5.000 habitantes.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Detalhamento do Projeto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 xml:space="preserve">Contempla os quesitos abaixo especificados: </w:t>
            </w:r>
            <w:r>
              <w:rPr>
                <w:rFonts w:ascii="Verdana" w:hAnsi="Verdana"/>
                <w:sz w:val="18"/>
                <w:szCs w:val="18"/>
              </w:rPr>
              <w:br/>
              <w:t>- Ações integradas de urbanização;</w:t>
            </w:r>
            <w:r>
              <w:rPr>
                <w:rFonts w:ascii="Verdana" w:hAnsi="Verdana"/>
                <w:sz w:val="18"/>
                <w:szCs w:val="18"/>
              </w:rPr>
              <w:br/>
              <w:t>- Erradicação de palafitas;</w:t>
            </w:r>
            <w:r>
              <w:rPr>
                <w:rFonts w:ascii="Verdana" w:hAnsi="Verdana"/>
                <w:sz w:val="18"/>
                <w:szCs w:val="18"/>
              </w:rPr>
              <w:br/>
              <w:t>- Recuperação de áreas degradadas;</w:t>
            </w:r>
            <w:r>
              <w:rPr>
                <w:rFonts w:ascii="Verdana" w:hAnsi="Verdana"/>
                <w:sz w:val="18"/>
                <w:szCs w:val="18"/>
              </w:rPr>
              <w:br/>
              <w:t>- Sistema Viário, Terraplanagem e Pavimentação;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Abastecimento de Água; </w:t>
            </w:r>
            <w:r>
              <w:rPr>
                <w:rFonts w:ascii="Verdana" w:hAnsi="Verdana"/>
                <w:sz w:val="18"/>
                <w:szCs w:val="18"/>
              </w:rPr>
              <w:br/>
              <w:t>- Esgotamento Sanitário;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Drenagem de Águas Pluviais; </w:t>
            </w:r>
            <w:r>
              <w:rPr>
                <w:rFonts w:ascii="Verdana" w:hAnsi="Verdana"/>
                <w:sz w:val="18"/>
                <w:szCs w:val="18"/>
              </w:rPr>
              <w:br/>
              <w:t>- Energia Elétrica e Iluminação Pública;</w:t>
            </w:r>
            <w:r>
              <w:rPr>
                <w:rFonts w:ascii="Verdana" w:hAnsi="Verdana"/>
                <w:sz w:val="18"/>
                <w:szCs w:val="18"/>
              </w:rPr>
              <w:br/>
              <w:t>- Equipamentos Comunitários;</w:t>
            </w:r>
            <w:r>
              <w:rPr>
                <w:rFonts w:ascii="Verdana" w:hAnsi="Verdana"/>
                <w:sz w:val="18"/>
                <w:szCs w:val="18"/>
              </w:rPr>
              <w:br/>
              <w:t>- Produção de Unidades Habitacionais (verticais e horizontais);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- Melhorias Habitacionais;</w:t>
            </w:r>
            <w:r>
              <w:rPr>
                <w:rFonts w:ascii="Verdana" w:hAnsi="Verdana"/>
                <w:sz w:val="18"/>
                <w:szCs w:val="18"/>
              </w:rPr>
              <w:br/>
              <w:t>- Implementação de Projeto de Trabalho Técnico Social e;</w:t>
            </w:r>
            <w:r>
              <w:rPr>
                <w:rFonts w:ascii="Verdana" w:hAnsi="Verdana"/>
                <w:sz w:val="18"/>
                <w:szCs w:val="18"/>
              </w:rPr>
              <w:br/>
              <w:t>- Regularização Fundiária;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Avaliação Sistemática das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Ações.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(Monitoramento)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Parcerias (mencionar as outras instituições que participam do projeto mesmo que não haja aporte financeiro relevante)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- SEBRAE: Promoção de Palestras Educativas;</w:t>
            </w:r>
            <w:r>
              <w:rPr>
                <w:rFonts w:ascii="Verdana" w:hAnsi="Verdana"/>
                <w:sz w:val="18"/>
                <w:szCs w:val="18"/>
              </w:rPr>
              <w:br/>
              <w:t>- Igrejas Evangélicas e Católicas existentes na comunidade e LIONS CLUBE: Cessão de espaços para realização de algumas atividades inerentes ao Projeto Técnico de Trabalho Social;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Comissão de Acompanhamento de Obras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do Taboquinha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– CAO: Acompanhamento do projeto físico e social;</w:t>
            </w:r>
            <w:r>
              <w:rPr>
                <w:rFonts w:ascii="Verdana" w:hAnsi="Verdana"/>
                <w:sz w:val="18"/>
                <w:szCs w:val="18"/>
              </w:rPr>
              <w:br/>
              <w:t>- Centro Comunitário do Cubatão: Apoio e acompanhamento à execução do Trabalho Técnico Social;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- Prefeitura Municipal de Belém (Agência Distrital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Icoaraci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 contribuição na realização de mutirão de limpeza, agregando outros parceiros como a Secretaria de Saneamento – SESAN, Secretaria de Meio-Ambiente – SEMMA, Fundação Cultural de Município de Belém – FUMBEL, Escola de Música Arte e Vida.</w:t>
            </w:r>
            <w:r>
              <w:rPr>
                <w:rFonts w:ascii="Verdana" w:hAnsi="Verdana"/>
                <w:sz w:val="18"/>
                <w:szCs w:val="18"/>
              </w:rPr>
              <w:br/>
              <w:t>- Ministério Público Estadual: mediação entre famílias e COHAB/PA para solução de impasses detectados na área de intervenção do projeto.</w:t>
            </w:r>
            <w:r>
              <w:rPr>
                <w:rFonts w:ascii="Verdana" w:hAnsi="Verdana"/>
                <w:sz w:val="18"/>
                <w:szCs w:val="18"/>
              </w:rPr>
              <w:br/>
              <w:t>- Empresa Terceirizada URBANIZA LTDA: Responsável pela execução do Trabalho Técnico Social, que viabiliza a terceirização de outras entidades para a realização de atividades, sobretudo, as relacionadas ao fomento de geração de trabalho e renda.</w:t>
            </w:r>
            <w:r>
              <w:rPr>
                <w:rFonts w:ascii="Verdana" w:hAnsi="Verdana"/>
                <w:sz w:val="18"/>
                <w:szCs w:val="18"/>
              </w:rPr>
              <w:br/>
              <w:t>- Empresa Terceirizada ATAN ENGENHARIA LTDA: responsável pela execução da obra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Investimento (colocar a entidade e o valor correspondente)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rPr>
                <w:rFonts w:ascii="Verdana" w:hAnsi="Verdana"/>
                <w:sz w:val="18"/>
                <w:szCs w:val="18"/>
              </w:rPr>
              <w:t>Ministério das Cidades/FNHIS/CAIXA - R$ 53.771.867,82</w:t>
            </w:r>
            <w:r>
              <w:rPr>
                <w:rFonts w:ascii="Verdana" w:hAnsi="Verdana"/>
                <w:sz w:val="18"/>
                <w:szCs w:val="18"/>
              </w:rPr>
              <w:br/>
              <w:t>Contrapartida Estadual - R$ 23.895.589,79</w:t>
            </w:r>
            <w:r>
              <w:rPr>
                <w:rFonts w:ascii="Verdana" w:hAnsi="Verdana"/>
                <w:sz w:val="18"/>
                <w:szCs w:val="18"/>
              </w:rPr>
              <w:br/>
              <w:t>TOTAL DO EMPREEENDIMENTO: R$ 77.667.457,61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4967" w:type="pct"/>
            <w:gridSpan w:val="2"/>
            <w:shd w:val="clear" w:color="auto" w:fill="EAF2FA"/>
            <w:vAlign w:val="center"/>
            <w:hideMark/>
          </w:tcPr>
          <w:p w:rsidR="00BB5241" w:rsidRDefault="00BB5241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Anexar a apresentação do projeto (arquivos </w:t>
            </w:r>
            <w:proofErr w:type="gramStart"/>
            <w:r>
              <w:rPr>
                <w:rStyle w:val="Forte"/>
                <w:rFonts w:ascii="Verdana" w:hAnsi="Verdana"/>
                <w:sz w:val="18"/>
                <w:szCs w:val="18"/>
              </w:rPr>
              <w:t>em .</w:t>
            </w:r>
            <w:proofErr w:type="spellStart"/>
            <w:proofErr w:type="gramEnd"/>
            <w:r>
              <w:rPr>
                <w:rStyle w:val="Forte"/>
                <w:rFonts w:ascii="Verdana" w:hAnsi="Verdana"/>
                <w:sz w:val="18"/>
                <w:szCs w:val="18"/>
              </w:rPr>
              <w:t>pdf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 ou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</w:rPr>
              <w:t>powerpoint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</w:rPr>
              <w:t>Obs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</w:rPr>
              <w:t>: Nome do arquivo não pode conter acentuação e "ç"</w:t>
            </w:r>
            <w:r>
              <w:t xml:space="preserve"> </w:t>
            </w:r>
          </w:p>
        </w:tc>
      </w:tr>
      <w:tr w:rsidR="00BB5241" w:rsidTr="00570011">
        <w:trPr>
          <w:tblCellSpacing w:w="15" w:type="dxa"/>
        </w:trPr>
        <w:tc>
          <w:tcPr>
            <w:tcW w:w="165" w:type="pct"/>
            <w:shd w:val="clear" w:color="auto" w:fill="FFFFFF"/>
            <w:vAlign w:val="center"/>
            <w:hideMark/>
          </w:tcPr>
          <w:p w:rsidR="00BB5241" w:rsidRDefault="00BB5241" w:rsidP="00570011">
            <w:r>
              <w:t> </w:t>
            </w:r>
          </w:p>
        </w:tc>
        <w:tc>
          <w:tcPr>
            <w:tcW w:w="4786" w:type="pct"/>
            <w:shd w:val="clear" w:color="auto" w:fill="FFFFFF"/>
            <w:vAlign w:val="center"/>
            <w:hideMark/>
          </w:tcPr>
          <w:p w:rsidR="00BB5241" w:rsidRDefault="00323DA2" w:rsidP="00570011">
            <w:hyperlink r:id="rId5" w:tgtFrame="_blank" w:tooltip="Click para ver" w:history="1">
              <w:r w:rsidR="00BB5241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COHAB-PA_TABOQUINHA - Selo de Mérito </w:t>
              </w:r>
              <w:proofErr w:type="gramStart"/>
              <w:r w:rsidR="00BB5241">
                <w:rPr>
                  <w:rStyle w:val="Hyperlink"/>
                  <w:rFonts w:ascii="Verdana" w:hAnsi="Verdana"/>
                  <w:sz w:val="18"/>
                  <w:szCs w:val="18"/>
                </w:rPr>
                <w:t>2014.</w:t>
              </w:r>
              <w:proofErr w:type="spellStart"/>
              <w:proofErr w:type="gramEnd"/>
              <w:r w:rsidR="00BB5241">
                <w:rPr>
                  <w:rStyle w:val="Hyperlink"/>
                  <w:rFonts w:ascii="Verdana" w:hAnsi="Verdana"/>
                  <w:sz w:val="18"/>
                  <w:szCs w:val="18"/>
                </w:rPr>
                <w:t>pdf</w:t>
              </w:r>
              <w:proofErr w:type="spellEnd"/>
            </w:hyperlink>
            <w:r w:rsidR="00BB5241">
              <w:t xml:space="preserve"> </w:t>
            </w:r>
          </w:p>
        </w:tc>
      </w:tr>
    </w:tbl>
    <w:p w:rsidR="00056C61" w:rsidRDefault="00090D97"/>
    <w:p w:rsidR="00BB5241" w:rsidRDefault="00BB5241"/>
    <w:sectPr w:rsidR="00BB5241" w:rsidSect="00B43AA4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AA4"/>
    <w:rsid w:val="0005035E"/>
    <w:rsid w:val="00090D97"/>
    <w:rsid w:val="00323DA2"/>
    <w:rsid w:val="00354761"/>
    <w:rsid w:val="006348F3"/>
    <w:rsid w:val="006440E3"/>
    <w:rsid w:val="008A095E"/>
    <w:rsid w:val="009B398E"/>
    <w:rsid w:val="00A37C52"/>
    <w:rsid w:val="00B43AA4"/>
    <w:rsid w:val="00BB5241"/>
    <w:rsid w:val="00C052E7"/>
    <w:rsid w:val="00DF781B"/>
    <w:rsid w:val="00F314B1"/>
    <w:rsid w:val="00F9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A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43AA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43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habitacao.org.br/wp-content/uploads/gravity_forms/7/2014/01/COHAB-PA_TABOQUINHA%20-%20Selo%20de%20M&#233;rito%202014.pdf" TargetMode="External"/><Relationship Id="rId4" Type="http://schemas.openxmlformats.org/officeDocument/2006/relationships/hyperlink" Target="mailto:kelen.gomes@cohab.p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2014-01-20T16:56:00Z</dcterms:created>
  <dcterms:modified xsi:type="dcterms:W3CDTF">2014-01-20T16:56:00Z</dcterms:modified>
</cp:coreProperties>
</file>