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97" w:rsidRDefault="00313C97" w:rsidP="00313C97">
      <w:pPr>
        <w:pStyle w:val="Corpodetexto"/>
        <w:ind w:right="-28"/>
        <w:jc w:val="center"/>
        <w:rPr>
          <w:rFonts w:ascii="Arial" w:hAnsi="Arial" w:cs="Arial"/>
          <w:b/>
          <w:sz w:val="24"/>
        </w:rPr>
      </w:pPr>
      <w:r w:rsidRPr="00313C97">
        <w:rPr>
          <w:rFonts w:ascii="Arial" w:hAnsi="Arial" w:cs="Arial"/>
          <w:b/>
          <w:sz w:val="24"/>
        </w:rPr>
        <w:t>Programa da Reconstrução</w:t>
      </w:r>
    </w:p>
    <w:p w:rsidR="000D41D5" w:rsidRPr="00313C97" w:rsidRDefault="000D41D5" w:rsidP="00313C97">
      <w:pPr>
        <w:pStyle w:val="Corpodetexto"/>
        <w:ind w:right="-2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SEINFRA-AL</w:t>
      </w:r>
      <w:bookmarkStart w:id="0" w:name="_GoBack"/>
      <w:bookmarkEnd w:id="0"/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b/>
          <w:sz w:val="24"/>
        </w:rPr>
      </w:pP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b/>
          <w:sz w:val="24"/>
        </w:rPr>
      </w:pPr>
      <w:r w:rsidRPr="00313C97">
        <w:rPr>
          <w:rFonts w:ascii="Arial" w:hAnsi="Arial" w:cs="Arial"/>
          <w:b/>
          <w:sz w:val="24"/>
        </w:rPr>
        <w:t>Objetivos: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numPr>
          <w:ilvl w:val="0"/>
          <w:numId w:val="1"/>
        </w:numPr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Construção de 17.747 unidades habitacionais, em 19 municípios alagoanos, para atender as famílias que tiveram suas casas destruídas pela catástrofe decorrente das enchentes ocorridas nos rios Paraíba e Mundaú, em junho de 2010 no Estado.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numPr>
          <w:ilvl w:val="0"/>
          <w:numId w:val="1"/>
        </w:numPr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 xml:space="preserve">Construção de pontes, estradas e equipamentos comunitários (escolas, unidades básicas de saúde, bibliotecas, CRAS e CREAS).  Recuperação do sistema de abastecimento de água e esgotamento sanitário e rede de distribuição de energia elétrica. </w:t>
      </w:r>
    </w:p>
    <w:p w:rsidR="00313C97" w:rsidRPr="00313C97" w:rsidRDefault="00313C97" w:rsidP="00313C97">
      <w:pPr>
        <w:pStyle w:val="PargrafodaLista"/>
        <w:rPr>
          <w:rFonts w:ascii="Arial" w:hAnsi="Arial" w:cs="Arial"/>
        </w:rPr>
      </w:pPr>
    </w:p>
    <w:p w:rsidR="00313C97" w:rsidRPr="00313C97" w:rsidRDefault="00313C97" w:rsidP="00313C97">
      <w:pPr>
        <w:pStyle w:val="Corpodetexto"/>
        <w:numPr>
          <w:ilvl w:val="0"/>
          <w:numId w:val="1"/>
        </w:numPr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Reassentamento da totalidade das famílias afetadas para áreas seguras e sustentáveis, garantindo-lhes a melhoria da qualidade de vida e inclusão social, através do acesso à educação, saúde, cultura, comércio, serviços, lazer e infraestrutura básica.</w:t>
      </w:r>
    </w:p>
    <w:p w:rsidR="00B21BA5" w:rsidRPr="00313C97" w:rsidRDefault="00B21BA5">
      <w:pPr>
        <w:rPr>
          <w:rFonts w:ascii="Arial" w:hAnsi="Arial" w:cs="Arial"/>
          <w:sz w:val="24"/>
          <w:szCs w:val="24"/>
        </w:rPr>
      </w:pP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b/>
          <w:sz w:val="24"/>
        </w:rPr>
      </w:pPr>
      <w:r w:rsidRPr="00313C97">
        <w:rPr>
          <w:rFonts w:ascii="Arial" w:hAnsi="Arial" w:cs="Arial"/>
          <w:b/>
          <w:sz w:val="24"/>
        </w:rPr>
        <w:t>Beneficiários diretos: 17.747 mil famílias</w:t>
      </w:r>
    </w:p>
    <w:p w:rsidR="00313C97" w:rsidRPr="00313C97" w:rsidRDefault="00313C97">
      <w:pPr>
        <w:rPr>
          <w:rFonts w:ascii="Arial" w:hAnsi="Arial" w:cs="Arial"/>
          <w:sz w:val="24"/>
          <w:szCs w:val="24"/>
        </w:rPr>
      </w:pP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As enchentes ocorridas em junho de 2010 no Estado de Alagoas, deixaram um saldo de 17.747 (dezessete mil, setecentos e quarenta e sete) famílias desabrigadas, obrigadas a presenciar, impotentes, não somente a destruição das suas moradias, pertences e documentos, mas, com a dor da perda de familiares.  A gravidade da situação extrapolou os limites do humano e do racional. A natureza mostrou sua força e poder da forma mais cruel, atingindo gravemente as populações vulneráveis que habitavam as áreas mais frágeis, de risco e sujeitas a inundações. Esse retrato foi apresentado ao Brasil e ao mundo, nos noticiários, sob espanto “tragédia nunca vista”.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Diante da catástrofe mencionada, e da anormalidade identificada em 19 municípios do Estado, foi decretada “Situação de Emergência” e “Estado de Calamidade Pública”. Nos três municípios onde a destruição ocorreu em grandes proporções foi necessário um novo planejamento urbano que reconstituísse praticamente toda a cidade, como o caso de Branquinha, Santana do Mundaú e Quebrangulo, municípios próximos à capital, duramente castigados.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 xml:space="preserve">Logo após as enchentes, as famílias desabrigadas foram levadas para abrigos provisórios – escolas públicas e ginásios – ou alojadas em barracas de lona, armadas como acampamentos, onde se instalou banheiros, cozinhas, energia elétrica e fornecimento de água, coletivos. 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A falta de um banco de terras disponível, para atender a demanda “emergencial” foi um dos grandes desafios para a reconstrução das 17.747 unidades habitacionais.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 xml:space="preserve">Para uma maior agilidade no processo, o Governo do Estado, criou um </w:t>
      </w:r>
      <w:r w:rsidRPr="00313C97">
        <w:rPr>
          <w:rFonts w:ascii="Arial" w:hAnsi="Arial" w:cs="Arial"/>
          <w:i/>
          <w:sz w:val="24"/>
        </w:rPr>
        <w:t>Comitê de</w:t>
      </w:r>
      <w:r w:rsidRPr="00313C97">
        <w:rPr>
          <w:rFonts w:ascii="Arial" w:hAnsi="Arial" w:cs="Arial"/>
          <w:sz w:val="24"/>
        </w:rPr>
        <w:t xml:space="preserve"> </w:t>
      </w:r>
      <w:r w:rsidRPr="00313C97">
        <w:rPr>
          <w:rFonts w:ascii="Arial" w:hAnsi="Arial" w:cs="Arial"/>
          <w:i/>
          <w:sz w:val="24"/>
        </w:rPr>
        <w:t>Análise e Aprovação de Projeto</w:t>
      </w:r>
      <w:r w:rsidRPr="00313C97">
        <w:rPr>
          <w:rFonts w:ascii="Arial" w:hAnsi="Arial" w:cs="Arial"/>
          <w:sz w:val="24"/>
        </w:rPr>
        <w:t xml:space="preserve">, com caráter interinstitucional o que tornou </w:t>
      </w:r>
      <w:r w:rsidRPr="00313C97">
        <w:rPr>
          <w:rFonts w:ascii="Arial" w:hAnsi="Arial" w:cs="Arial"/>
          <w:sz w:val="24"/>
        </w:rPr>
        <w:lastRenderedPageBreak/>
        <w:t>possível a contratação de 32 empreendimentos, nos 19 municípios, em um exíguo espaço de tempo.</w:t>
      </w:r>
    </w:p>
    <w:p w:rsidR="00313C97" w:rsidRPr="00313C97" w:rsidRDefault="00313C97" w:rsidP="00313C97">
      <w:pPr>
        <w:pStyle w:val="Corpodetexto"/>
        <w:ind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numPr>
          <w:ilvl w:val="0"/>
          <w:numId w:val="2"/>
        </w:numPr>
        <w:ind w:right="-28"/>
        <w:rPr>
          <w:rFonts w:ascii="Arial" w:hAnsi="Arial" w:cs="Arial"/>
          <w:b/>
          <w:sz w:val="24"/>
        </w:rPr>
      </w:pPr>
      <w:r w:rsidRPr="00313C97">
        <w:rPr>
          <w:rFonts w:ascii="Arial" w:hAnsi="Arial" w:cs="Arial"/>
          <w:b/>
          <w:sz w:val="24"/>
        </w:rPr>
        <w:t>O PROGRAMA - PROGRAMA DA RECONSTRUÇÃO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numPr>
          <w:ilvl w:val="0"/>
          <w:numId w:val="3"/>
        </w:numPr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Critérios para a identificação de áreas para a reconstrução das moradias: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-áreas ambientalmente seguras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-áreas no perímetro urbano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-áreas de fácil acesso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numPr>
          <w:ilvl w:val="0"/>
          <w:numId w:val="3"/>
        </w:numPr>
        <w:ind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Critérios para elaboração dos Projetos Urbanos: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-Municípios com destruição de até 2000 casas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-Municípios com destruição entre 2000 e 5000 casas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-Municípios com quase 100% de destruição (casas e centro administrativo)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numPr>
          <w:ilvl w:val="0"/>
          <w:numId w:val="3"/>
        </w:numPr>
        <w:ind w:right="-28"/>
        <w:rPr>
          <w:rFonts w:ascii="Arial" w:hAnsi="Arial" w:cs="Arial"/>
          <w:b/>
          <w:sz w:val="24"/>
        </w:rPr>
      </w:pPr>
      <w:r w:rsidRPr="00313C97">
        <w:rPr>
          <w:rFonts w:ascii="Arial" w:hAnsi="Arial" w:cs="Arial"/>
          <w:b/>
          <w:sz w:val="24"/>
        </w:rPr>
        <w:t>Os Projetos: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  <w:u w:val="single"/>
        </w:rPr>
        <w:t>A unidade habitacional</w:t>
      </w:r>
      <w:r w:rsidRPr="00313C97">
        <w:rPr>
          <w:rFonts w:ascii="Arial" w:hAnsi="Arial" w:cs="Arial"/>
          <w:sz w:val="24"/>
        </w:rPr>
        <w:t>: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Foram desenvolvidos projetos diversificados, com áreas de construção de, aproximadamente 41,00m², composto de sala, 02 quartos, banheiro e cozinha e, para 3% das unidades, de cada empreendimento, projetos adaptados para PNE - Portadores de Necessidades Especiais, com aproximadamente 55,00m².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 xml:space="preserve"> </w:t>
      </w:r>
      <w:r w:rsidRPr="00313C97">
        <w:rPr>
          <w:rFonts w:ascii="Arial" w:hAnsi="Arial" w:cs="Arial"/>
          <w:sz w:val="24"/>
          <w:u w:val="single"/>
        </w:rPr>
        <w:t>Os Projetos Urbanos</w:t>
      </w:r>
      <w:r w:rsidRPr="00313C97">
        <w:rPr>
          <w:rFonts w:ascii="Arial" w:hAnsi="Arial" w:cs="Arial"/>
          <w:sz w:val="24"/>
        </w:rPr>
        <w:t>: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 xml:space="preserve">Municípios com destruição de até 2000 casas: Empreendimentos dotados de toda infraestrutura, áreas para equipamentos comunitários e áreas de lazer. 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  <w:r w:rsidRPr="00313C97">
        <w:rPr>
          <w:rFonts w:ascii="Arial" w:hAnsi="Arial" w:cs="Arial"/>
          <w:sz w:val="24"/>
        </w:rPr>
        <w:t>Municípios com destruição entre 2000 e 5000 casas: Foram projetados novos bairros, com empreendimentos dotados de toda infraestrutura, áreas para equipamentos comunitários, áreas de lazer, lotes comerciais e vias duplas.</w:t>
      </w:r>
    </w:p>
    <w:p w:rsidR="00313C97" w:rsidRPr="00313C97" w:rsidRDefault="00313C97" w:rsidP="00313C97">
      <w:pPr>
        <w:pStyle w:val="Corpodetexto"/>
        <w:ind w:left="720" w:right="-28"/>
        <w:rPr>
          <w:rFonts w:ascii="Arial" w:hAnsi="Arial" w:cs="Arial"/>
          <w:sz w:val="24"/>
        </w:rPr>
      </w:pPr>
    </w:p>
    <w:p w:rsidR="00313C97" w:rsidRPr="00313C97" w:rsidRDefault="00313C97" w:rsidP="00313C97">
      <w:pPr>
        <w:rPr>
          <w:rFonts w:ascii="Arial" w:hAnsi="Arial" w:cs="Arial"/>
          <w:sz w:val="24"/>
          <w:szCs w:val="24"/>
        </w:rPr>
      </w:pPr>
      <w:r w:rsidRPr="00313C97">
        <w:rPr>
          <w:rFonts w:ascii="Arial" w:hAnsi="Arial" w:cs="Arial"/>
          <w:sz w:val="24"/>
          <w:szCs w:val="24"/>
        </w:rPr>
        <w:t xml:space="preserve">Municípios com quase 100% de destruição: Nesses casos foram projetadas </w:t>
      </w:r>
      <w:r w:rsidRPr="00313C97">
        <w:rPr>
          <w:rFonts w:ascii="Arial" w:hAnsi="Arial" w:cs="Arial"/>
          <w:sz w:val="24"/>
          <w:szCs w:val="24"/>
          <w:u w:val="single"/>
        </w:rPr>
        <w:t>novas cidades</w:t>
      </w:r>
      <w:r w:rsidRPr="00313C97">
        <w:rPr>
          <w:rFonts w:ascii="Arial" w:hAnsi="Arial" w:cs="Arial"/>
          <w:sz w:val="24"/>
          <w:szCs w:val="24"/>
        </w:rPr>
        <w:t>, dotadas de toda infraestrutura, áreas para equipamentos comunitários, áreas de lazer, lotes comerciais, vias duplas e centro administrativo.</w:t>
      </w:r>
    </w:p>
    <w:p w:rsidR="00313C97" w:rsidRPr="00313C97" w:rsidRDefault="00313C97" w:rsidP="00313C97">
      <w:pPr>
        <w:rPr>
          <w:rFonts w:ascii="Arial" w:hAnsi="Arial" w:cs="Arial"/>
          <w:sz w:val="24"/>
          <w:szCs w:val="24"/>
        </w:rPr>
      </w:pPr>
    </w:p>
    <w:sectPr w:rsidR="00313C97" w:rsidRPr="00313C97" w:rsidSect="00B21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13DF"/>
    <w:multiLevelType w:val="hybridMultilevel"/>
    <w:tmpl w:val="17267022"/>
    <w:lvl w:ilvl="0" w:tplc="FB7081E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F41"/>
    <w:multiLevelType w:val="hybridMultilevel"/>
    <w:tmpl w:val="BC86D8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C10"/>
    <w:multiLevelType w:val="hybridMultilevel"/>
    <w:tmpl w:val="5F220E5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C97"/>
    <w:rsid w:val="000D41D5"/>
    <w:rsid w:val="002518A3"/>
    <w:rsid w:val="00313C97"/>
    <w:rsid w:val="003B6FB2"/>
    <w:rsid w:val="00A56FEA"/>
    <w:rsid w:val="00B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3EAB"/>
  <w15:docId w15:val="{09B44BC6-B75D-49CA-ADC7-1D27B9E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3C97"/>
    <w:pPr>
      <w:tabs>
        <w:tab w:val="left" w:pos="0"/>
      </w:tabs>
      <w:spacing w:after="0" w:line="240" w:lineRule="auto"/>
      <w:ind w:right="-29"/>
      <w:jc w:val="both"/>
    </w:pPr>
    <w:rPr>
      <w:rFonts w:ascii="Tahoma" w:eastAsia="Times New Roman" w:hAnsi="Tahoma" w:cs="Tahoma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13C97"/>
    <w:rPr>
      <w:rFonts w:ascii="Tahoma" w:eastAsia="Times New Roman" w:hAnsi="Tahoma" w:cs="Tahoma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3C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Bia</cp:lastModifiedBy>
  <cp:revision>4</cp:revision>
  <dcterms:created xsi:type="dcterms:W3CDTF">2012-05-14T15:01:00Z</dcterms:created>
  <dcterms:modified xsi:type="dcterms:W3CDTF">2023-03-03T21:17:00Z</dcterms:modified>
</cp:coreProperties>
</file>